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BCA1" w14:textId="6AB4F654" w:rsidR="00C81BE5" w:rsidRPr="00C81BE5" w:rsidRDefault="00C81BE5">
      <w:pPr>
        <w:rPr>
          <w:rFonts w:cstheme="minorHAnsi"/>
          <w:sz w:val="36"/>
          <w:szCs w:val="36"/>
        </w:rPr>
      </w:pPr>
    </w:p>
    <w:p w14:paraId="3B5AE56F" w14:textId="16CEA145" w:rsidR="00C81BE5" w:rsidRPr="00C81BE5" w:rsidRDefault="00C81BE5">
      <w:pPr>
        <w:rPr>
          <w:rFonts w:cstheme="minorHAnsi"/>
          <w:sz w:val="36"/>
          <w:szCs w:val="36"/>
        </w:rPr>
      </w:pPr>
      <w:r w:rsidRPr="00C81BE5">
        <w:rPr>
          <w:rFonts w:cstheme="minorHAnsi"/>
          <w:sz w:val="36"/>
          <w:szCs w:val="36"/>
        </w:rPr>
        <w:t>Profesor Ewa Łętowska, sędzia Trybunału Konstytucyjnego i NSA w stanie spoczynku i były Rzecznik Praw Obywatelskich dla OKO.press:</w:t>
      </w:r>
    </w:p>
    <w:p w14:paraId="100D9E53" w14:textId="757F89DA" w:rsidR="00C81BE5" w:rsidRPr="00C81BE5" w:rsidRDefault="00C81BE5">
      <w:pPr>
        <w:rPr>
          <w:rFonts w:cstheme="minorHAnsi"/>
          <w:sz w:val="36"/>
          <w:szCs w:val="36"/>
        </w:rPr>
      </w:pPr>
    </w:p>
    <w:p w14:paraId="497E72B0" w14:textId="77777777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sz w:val="32"/>
          <w:szCs w:val="32"/>
        </w:rPr>
        <w:t>„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>Ewa Łętowska</w:t>
      </w:r>
    </w:p>
    <w:p w14:paraId="1302A0B5" w14:textId="77777777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>Mniej wolno –  a więcej trzeba</w:t>
      </w:r>
    </w:p>
    <w:p w14:paraId="66DC0044" w14:textId="54F43FB2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Trwa  drugi tydzień naszego stanu wyjątkowego, zabraniającego przebywania na terytorium przygranicznym </w:t>
      </w:r>
      <w:r>
        <w:rPr>
          <w:rFonts w:asciiTheme="minorHAnsi" w:hAnsiTheme="minorHAnsi" w:cstheme="minorHAnsi"/>
          <w:color w:val="111111"/>
          <w:sz w:val="32"/>
          <w:szCs w:val="32"/>
        </w:rPr>
        <w:t xml:space="preserve">- 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>osób z zewnątrz. Liczne, nieprecyzyjnie zresztą ujęte wyjątki, nie obejmują dziennikarzy. Głównym ograniczeniem jest zakaz fotografowania, dokumentowania (cokolwiek by to miało oznaczać) „miejsc oraz obiektów”,  a także ograniczającego dostęp do informacji publicznej odnoszącej się do „czynności prowadzonych na obszarze objętym stanem wyjątkowym w związku z ochroną granicy państwowej oraz zapobieganiem i przeciwdziałaniem nielegalnej migracji”. Wyraźnie zatem widać (co było raczej od początku niesporne)</w:t>
      </w:r>
      <w:r>
        <w:rPr>
          <w:rFonts w:asciiTheme="minorHAnsi" w:hAnsiTheme="minorHAnsi" w:cstheme="minorHAnsi"/>
          <w:color w:val="111111"/>
          <w:sz w:val="32"/>
          <w:szCs w:val="32"/>
        </w:rPr>
        <w:t>,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że utajnienie tego, co się na granicy dzieje, jest głównym celem wprowadzenia stanu wyjątkowego.</w:t>
      </w:r>
    </w:p>
    <w:p w14:paraId="2103199B" w14:textId="145A8DBF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Trywialna mądrość głosi „co z oczu to z serca”.  Idzie więc o to, a politycy nawet tego specjalnie nie skrywają, aby w strefie przygranicznej nikt się nie kręcił, nie dokumentował co władza robi, albo czego nie robi </w:t>
      </w:r>
      <w:r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chociaż powinna. Wszystko po to, aby za wiele nie dyskutować, nie demonstrować lecz ugruntowywać obywateli do aprobaty  tego co władza aktualnie czyni –</w:t>
      </w:r>
      <w:r>
        <w:rPr>
          <w:rFonts w:asciiTheme="minorHAnsi" w:hAnsiTheme="minorHAnsi" w:cstheme="minorHAnsi"/>
          <w:color w:val="111111"/>
          <w:sz w:val="32"/>
          <w:szCs w:val="32"/>
        </w:rPr>
        <w:t>,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że użyję aktualnej nowomowy .</w:t>
      </w:r>
    </w:p>
    <w:p w14:paraId="0EFA0E2D" w14:textId="56B7AECF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Konstytucyjne przesłanki wprowadzenia stanu wyjątkowego (art. 230) przedstawiają się mało wiarygodnie, zarówno na pierwszy rzut oka, jak i przy lekturze rozporządzeń konkretyzujących, bo trudno stwierdzić na czym miałoby polegać zagrożenie „bezpieczeństwa 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lastRenderedPageBreak/>
        <w:t>obywateli”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 xml:space="preserve"> 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>i „porządku publicznego”, któremu miałyby przeciwdziałać wspomniane ograniczenia transparencji i dostępu do informacji. Chyba, że idzie o zaoszczędzenie nam dyskomfortu graniczącego z pewnością podejrzenia,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 xml:space="preserve"> 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>że polskie służby praktykują zakazany konwencją genewską push-back kandydatów na uchodźców.</w:t>
      </w:r>
    </w:p>
    <w:p w14:paraId="29FE9709" w14:textId="4B08C4DB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>Sama legalność stanu wyjątkowego zastrzeżeń nie nasuwa: Sejm nie skorzystał z okazji, aby go zdelegitymizować. Zaskarżenie, że użyto nieproporcjonalnego  w stosunku do zagrożenia lub posłużono się środkiem drastycznie ograniczającym wolność słowa, w celu innym niż deklarowany byłoby, oczywiście, teoretycznie możliwe. Z tym, że obecnie nie wchodzi w grę zdelegitymizowany Trybunał Konstytucyjny, daleki od swych oryginalnych funkcji. Przyszłość może oczywiście przynieść skargi do Strasburga, ale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 xml:space="preserve"> 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>realność ochrony jest mglista.</w:t>
      </w:r>
    </w:p>
    <w:p w14:paraId="26F50113" w14:textId="4AAEFE6F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Stan wyjątkowy wyjątkowo dotkliwie ogranicza możliwości pracy dziennikarzy. Wolno im mniej 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> gdy idzie o fakty i dokumentację.</w:t>
      </w:r>
    </w:p>
    <w:p w14:paraId="2036F059" w14:textId="7CCFEA24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>Mogą oczywiście w tej sytuacji po prostu zająć się czym innym. Wtedy nawet nie odczują ograniczeń. Będzie im wygodniej. Obywatele nie przeczytają o faktach, które będą zawstydzać i frustrować. Nie bę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>d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>zie powodów aby apelować do sumień  i obywatelskiej ofiarności. Zapanuje spokój i gnuśna cisza. Oznacza to regres warunków w jakich funkcjonują demokracja i społeczeństwo obywatelskie i zarazem obniżenie standardu samej demokracji. Państwem prawa teraz bywamy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>,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a nasza demokracja jest okrojona.</w:t>
      </w:r>
    </w:p>
    <w:p w14:paraId="76AF53E1" w14:textId="43A390DF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Dziennikarzom dziś więc wolno mniej, ale 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paradoksalnie 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 zapotrzebowanie na ich pracę 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staje się tym większe. Próbujących raportować z terenów przygranicznych spotykają represje. „Obywatelskie nieposłuszeństwo dziennikarzy” może być wdzięcznym tematem oddzielnej analizy i zainteresowania akcji „Na celowniku”. Problem jednak w tym, że tu łatwo o wyjście z przypisanej roli zawodowej: sprawozdawcy i informatora, o której to konfuzji ról filmy kręcą, bo codzienność staje się scenariuszem.</w:t>
      </w:r>
    </w:p>
    <w:p w14:paraId="3F31DEDE" w14:textId="77777777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lastRenderedPageBreak/>
        <w:t>Jest jednak jeszcze coś, co warto dziennikarzom w tej sytuacji rekomendować.</w:t>
      </w:r>
    </w:p>
    <w:p w14:paraId="773FB580" w14:textId="33E3AEBC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>Skoro mniej jest danych o faktach i „surowej” dokumentacji bezpośredniej, może więcej wnioskowania z tego, co dostępne; mniej reportażu i opisu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>,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a więcej analizy własnej i eksperckiej. Może to jest szansa dla zalewającej nas rzeki sprzecznych „narracji”,  techniki wmawiania, nachalnie zmanipulowanej propagandą? To wymaga więcej czasu, wiedzy, doskonalszego warsztatu. Coś o tym wiem, bo taka sytuacja jest także wyzwaniem dla prawoznawców.</w:t>
      </w:r>
    </w:p>
    <w:p w14:paraId="6222DAF2" w14:textId="77777777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> </w:t>
      </w:r>
    </w:p>
    <w:p w14:paraId="6E366208" w14:textId="34E9357A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>Stan wyjątkowy skierowany w gruncie rzeczy przede wszystkim przeciw wolności mediów jako dostarczycieli wiedzy o faktach, to przecież kolejny przejaw „państwa podwójnego”, jakiego doświadczamy. Jedną z jego cech jest wypaczanie sensu (orwellowska podwójność znaczeń),  budowanie fałszywych łańcuchów przyczynowo skutkowych, utrzymywanie społeczeństwa w stanie wygodnej nieświadomości.</w:t>
      </w:r>
    </w:p>
    <w:p w14:paraId="375BD13B" w14:textId="412F4404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Prawo jest w tym procederze zarówno narzędziem, jak i przedmiotem skłamanego dyskursu. Fałszywe etykiety nadawane rozwiązaniom i procedurom prawnym, mają maskować autorytarne w swej istocie posunięcia władzy. „Pakiet Wolności Akademickiej” 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skrywa ograniczanie tej wolności. Hasła przyspieszenia i zdemokratyzowania pracy trybunałów czy sądów (ileż tego się nasłuchaliśmy!) 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>  w rzeczywistości posłużyło ograniczaniu ich niezależności od władzy politycznej. Akces (dobrowolny) do traktatu międzynarodowego zmienia się na naszych oczach w „okupację” i  zgodę na „hybrydową wojnę”. Kwestie kolizyjne, normalne w systemie wieloskładnikowym, jakim jest prawo w państwie należącym do UE chce się rozwiązywać poprzez dyskwalifikację, ośmieszanie, tromtadrację, szantaż moralny, na zasadzie: „kto nie z nami, przeciwko nam” itd. Ważenie i ucieranie stanowisk, budowanie kompromisów, traktujemy w werbalnej, oficjalnej narracji jak kapitulację Reduty Ordona.</w:t>
      </w:r>
    </w:p>
    <w:p w14:paraId="587695E1" w14:textId="574CD98C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lastRenderedPageBreak/>
        <w:t xml:space="preserve">Głównym problemem walki o praworządności  jest więc 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zwłaszcza dla dziennikarzy 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walka z tymi fałszywymi oznaczeniami, którymi oficjalna propaganda posługuje</w:t>
      </w:r>
      <w:r w:rsidR="009A62DC">
        <w:rPr>
          <w:rFonts w:asciiTheme="minorHAnsi" w:hAnsiTheme="minorHAnsi" w:cstheme="minorHAnsi"/>
          <w:color w:val="111111"/>
          <w:sz w:val="32"/>
          <w:szCs w:val="32"/>
        </w:rPr>
        <w:t xml:space="preserve"> 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>się masowo w zakresie każdej właściwie kwestii prawnej czy prawoznawczej.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br/>
        <w:t>To przemyślany zabieg „techniki wmawiania”, gdy już nie tylko prawo, ale i część zasad prawoznawczych jest używana instrumentalnie w walce politycznej i propagandzie sukcesu. Ta metoda realizuje kilka celów.</w:t>
      </w:r>
    </w:p>
    <w:p w14:paraId="5860C396" w14:textId="77C52C05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>Przede wszystkim daje legitymizację (prawda, że skłamaną), ale działającą, tak w oczach krajowej opinii społecznej, jak i jako argument w „walce o swoje” zagranicą.  Za przykład służyć mogą wnioski o kontrolę konstytucyjności traktatów czy konwencji międzynarodowych. Kontrola konstytucyjności umów międzynarodowych, owszem, jest w polskiej konstytucji przewidziana. Tyle, że nawet gdyby rzeczywiście taka sprzeczność zaszła i była stwierdzona, nigdy mocą samego orzeczenia trybunalskiego, żaden traktat, konwencja czy umowa międzynarodowa, ani ich fragment nie przestałby obowiązywać i wiązać. Aby tak się stało, trzeba owe traktaty, konwencje czy umowy międzynarodowe najpierw wypowiedzieć, bo samo orzeczenie TK to za mało. Jest to zobowiązanie ciążące na władzach, w których gestii takie procedury leżą, aby wykonały wyrok TK, stwierdzający sprzeczność z Konstytucją traktatu czy umowy międzynarodowej. Dziwi brak świadomości co do tego, że 15 lipca 2021, wydając wyrok  P 7/20 (zakwestionowano zasadę lojalności obowiązującą państwa członkowskie) Trybunał Konstytucyjny już zobowiązał polskie władze polityczne do wykonania wypowiedzenia Traktatu o UE! A przecież jeszcze czeka w Trybunale sprawa K 3/21 (gdzie zakwestionowano cały Traktat) i sprawa K 6/21 (gdzie z kolei otwiera się perspektywa wyjścia z Konwencji o Podstawowych Wolnościach i Prawach Człowieka, skoro zaskarżona tam tak kluczowy jej fragment, jakim jest prawo do sądu). Następstwem takich wyroków, jest konieczność wypowiedzenia umowy międzynarodowej (traktatu)</w:t>
      </w:r>
      <w:r w:rsidR="00CD6479">
        <w:rPr>
          <w:rFonts w:asciiTheme="minorHAnsi" w:hAnsiTheme="minorHAnsi" w:cstheme="minorHAnsi"/>
          <w:color w:val="111111"/>
          <w:sz w:val="32"/>
          <w:szCs w:val="32"/>
        </w:rPr>
        <w:t>,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albo zmiana Konstytucji</w:t>
      </w:r>
      <w:r w:rsidR="00CD6479">
        <w:rPr>
          <w:rFonts w:asciiTheme="minorHAnsi" w:hAnsiTheme="minorHAnsi" w:cstheme="minorHAnsi"/>
          <w:color w:val="111111"/>
          <w:sz w:val="32"/>
          <w:szCs w:val="32"/>
        </w:rPr>
        <w:t>,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albo niewykonanie wyroku TK. Innej możliwości nie ma. Bo chyba nie możemy liczyć na (czwarta 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lastRenderedPageBreak/>
        <w:t xml:space="preserve">możliwość) zmianę TUE, TSUE oraz Konwencji o Podstawowych Prawach i Wolnościach Człowieka </w:t>
      </w:r>
      <w:r w:rsidR="00CD6479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skoro to od Polski nie zależy.</w:t>
      </w:r>
    </w:p>
    <w:p w14:paraId="133C2C15" w14:textId="6C521AB6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>Wnioskodawcy (i </w:t>
      </w:r>
      <w:r w:rsidR="00CD6479">
        <w:rPr>
          <w:rFonts w:asciiTheme="minorHAnsi" w:hAnsiTheme="minorHAnsi" w:cstheme="minorHAnsi"/>
          <w:color w:val="111111"/>
          <w:sz w:val="32"/>
          <w:szCs w:val="32"/>
        </w:rPr>
        <w:t xml:space="preserve">- 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niestety </w:t>
      </w:r>
      <w:r w:rsidR="00CD6479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TK) posłużyli się fałszywą etykietą. Rzeczywisty zamiar: przeniesienie na szczebel lokalny decyzji, czy i które z wyroków TSUE i ETPCz będą w Polsce stosowane, a które nie, </w:t>
      </w:r>
      <w:r w:rsidR="00CD6479">
        <w:rPr>
          <w:rFonts w:asciiTheme="minorHAnsi" w:hAnsiTheme="minorHAnsi" w:cstheme="minorHAnsi"/>
          <w:color w:val="111111"/>
          <w:sz w:val="32"/>
          <w:szCs w:val="32"/>
        </w:rPr>
        <w:t xml:space="preserve"> 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ukryto pod fałszywą etykietą. Sporu o supremację prawa polskiego nad traktatami unijnymi i EKPCz w takiej postaci, jak to przedstawiono </w:t>
      </w:r>
      <w:r w:rsidR="00CD6479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nie ma i nie było. Stosowanie mislabellingu prawniczego  ma dać efekt propagandowy, właściwy dla „państwa podwójnego”.</w:t>
      </w:r>
    </w:p>
    <w:p w14:paraId="0673EC43" w14:textId="17A83256" w:rsidR="00C81BE5" w:rsidRPr="00C81BE5" w:rsidRDefault="00C81BE5" w:rsidP="00C81BE5">
      <w:pPr>
        <w:pStyle w:val="NormalnyWeb"/>
        <w:shd w:val="clear" w:color="auto" w:fill="FFFFFF"/>
        <w:rPr>
          <w:rFonts w:asciiTheme="minorHAnsi" w:hAnsiTheme="minorHAnsi" w:cstheme="minorHAnsi"/>
          <w:color w:val="111111"/>
          <w:sz w:val="32"/>
          <w:szCs w:val="32"/>
        </w:rPr>
      </w:pP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Nie ma dobrej strategii obrończej wobec tego rodzaju zakłamania prawa i prawoznawstwa. W walce z fałszywymi etykietami dziennikarze mają kłopot z dotarciem do rzetelnej wiedzy eksperckiej (zwłaszcza zjawiska  „zdrady klerków” w środowiskach prawniczych). A z kolei rzetelne prawoznawstwo musi zrozumieć, że jako sprzedawca na rynku idei ma potężnego i podstępnego konkurenta. „Własny  towar” nie tylko wymaga w tej sytuacji dodatkowej reklamy, ale i demaskacji metod nieuczciwej konkurencji, a także pomocy mediów. Dawniej wystarczyło wpuścić w dyskurs książkę czy artykuł. Obecnie samo zaistnienie w dyskursie jest trudniejsze, bo tłok, a o uznanie autorytetu i rzetelności trzeba dodatkowo, za każdym razem na nowo zabiegać, bo nikt nie wierzy autorytetom na kredyt. I na dobitkę trzeba pokazywać palcem, hałaśliwie (co nie każdy lubi) krytykować nieuczciwą konkurencję. Bo także dla prawoznawców obecnie sytuacja układa się identycznie, jak dla dziennikarzy: „mniej wolno </w:t>
      </w:r>
      <w:r w:rsidR="00CD6479">
        <w:rPr>
          <w:rFonts w:asciiTheme="minorHAnsi" w:hAnsiTheme="minorHAnsi" w:cstheme="minorHAnsi"/>
          <w:color w:val="111111"/>
          <w:sz w:val="32"/>
          <w:szCs w:val="32"/>
        </w:rPr>
        <w:t>-</w:t>
      </w:r>
      <w:r w:rsidRPr="00C81BE5">
        <w:rPr>
          <w:rFonts w:asciiTheme="minorHAnsi" w:hAnsiTheme="minorHAnsi" w:cstheme="minorHAnsi"/>
          <w:color w:val="111111"/>
          <w:sz w:val="32"/>
          <w:szCs w:val="32"/>
        </w:rPr>
        <w:t xml:space="preserve"> ale więcej trzeba”.</w:t>
      </w:r>
    </w:p>
    <w:p w14:paraId="283B7685" w14:textId="77777777" w:rsidR="00C81BE5" w:rsidRPr="00C81BE5" w:rsidRDefault="00C81BE5" w:rsidP="00C81BE5">
      <w:pPr>
        <w:pStyle w:val="NormalnyWeb"/>
        <w:shd w:val="clear" w:color="auto" w:fill="FFFFFF"/>
        <w:rPr>
          <w:rFonts w:ascii="Georgia" w:hAnsi="Georgia"/>
          <w:color w:val="111111"/>
          <w:sz w:val="32"/>
          <w:szCs w:val="32"/>
        </w:rPr>
      </w:pPr>
      <w:r w:rsidRPr="00C81BE5">
        <w:rPr>
          <w:rFonts w:ascii="Georgia" w:hAnsi="Georgia"/>
          <w:color w:val="111111"/>
          <w:sz w:val="32"/>
          <w:szCs w:val="32"/>
        </w:rPr>
        <w:t> </w:t>
      </w:r>
    </w:p>
    <w:p w14:paraId="38D856C6" w14:textId="0C3E9E4B" w:rsidR="00C81BE5" w:rsidRPr="00C81BE5" w:rsidRDefault="00C81BE5">
      <w:pPr>
        <w:rPr>
          <w:sz w:val="32"/>
          <w:szCs w:val="32"/>
        </w:rPr>
      </w:pPr>
    </w:p>
    <w:sectPr w:rsidR="00C81BE5" w:rsidRPr="00C8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E5"/>
    <w:rsid w:val="007C31D7"/>
    <w:rsid w:val="009A62DC"/>
    <w:rsid w:val="00C81BE5"/>
    <w:rsid w:val="00C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DF71"/>
  <w15:chartTrackingRefBased/>
  <w15:docId w15:val="{11ED63DA-AA73-4A9A-A9FE-7B1A6630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Jałoszewska</dc:creator>
  <cp:keywords/>
  <dc:description/>
  <cp:lastModifiedBy>Sonia Jałoszewska</cp:lastModifiedBy>
  <cp:revision>2</cp:revision>
  <dcterms:created xsi:type="dcterms:W3CDTF">2021-09-13T07:14:00Z</dcterms:created>
  <dcterms:modified xsi:type="dcterms:W3CDTF">2021-09-13T07:14:00Z</dcterms:modified>
</cp:coreProperties>
</file>